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tabs>
          <w:tab w:leader="none" w:pos="2600" w:val="left"/>
          <w:tab w:leader="none" w:pos="7371" w:val="left"/>
        </w:tabs>
        <w:ind/>
        <w:jc w:val="both"/>
        <w:rPr>
          <w:sz w:val="24"/>
        </w:rPr>
      </w:pPr>
      <w:r>
        <w:rPr>
          <w:sz w:val="24"/>
        </w:rPr>
        <w:t xml:space="preserve">         </w:t>
      </w:r>
      <w:r>
        <w:rPr>
          <w:sz w:val="24"/>
        </w:rPr>
        <w:t>Примерное 10-ти дневное меню для о</w:t>
      </w:r>
      <w:r>
        <w:rPr>
          <w:sz w:val="24"/>
        </w:rPr>
        <w:t xml:space="preserve">бщеобразовательных организаций </w:t>
      </w:r>
      <w:bookmarkStart w:id="1" w:name="_GoBack"/>
      <w:bookmarkEnd w:id="1"/>
      <w:r>
        <w:rPr>
          <w:sz w:val="24"/>
        </w:rPr>
        <w:t xml:space="preserve">в соответствии с </w:t>
      </w:r>
      <w:r>
        <w:rPr>
          <w:rStyle w:val="Style_1_ch"/>
          <w:sz w:val="24"/>
        </w:rPr>
        <w:fldChar w:fldCharType="begin"/>
      </w:r>
      <w:r>
        <w:rPr>
          <w:rStyle w:val="Style_1_ch"/>
          <w:sz w:val="24"/>
        </w:rPr>
        <w:instrText>HYPERLINK "https://docs.cntd.ru/document/566276706#6540IN"</w:instrText>
      </w:r>
      <w:r>
        <w:rPr>
          <w:rStyle w:val="Style_1_ch"/>
          <w:sz w:val="24"/>
        </w:rPr>
        <w:fldChar w:fldCharType="separate"/>
      </w:r>
      <w:r>
        <w:rPr>
          <w:rStyle w:val="Style_1_ch"/>
          <w:sz w:val="24"/>
        </w:rPr>
        <w:t xml:space="preserve">санитарно-эпидемиологических правилами и нормами СанПиН </w:t>
      </w:r>
      <w:bookmarkStart w:id="2" w:name="_Hlk126240827"/>
      <w:r>
        <w:rPr>
          <w:rStyle w:val="Style_1_ch"/>
          <w:sz w:val="24"/>
        </w:rPr>
        <w:t>2.3/2.4.3590-20</w:t>
      </w:r>
      <w:bookmarkEnd w:id="2"/>
      <w:r>
        <w:rPr>
          <w:rStyle w:val="Style_1_ch"/>
          <w:sz w:val="24"/>
        </w:rPr>
        <w:t xml:space="preserve"> "Санитарно-эпидемиологические требования к организации общественного питания населения"</w:t>
      </w:r>
      <w:r>
        <w:rPr>
          <w:rStyle w:val="Style_1_ch"/>
          <w:sz w:val="24"/>
        </w:rPr>
        <w:fldChar w:fldCharType="end"/>
      </w:r>
      <w:r>
        <w:rPr>
          <w:sz w:val="24"/>
        </w:rPr>
        <w:t>,</w:t>
      </w:r>
      <w:r>
        <w:rPr>
          <w:b w:val="1"/>
          <w:sz w:val="24"/>
        </w:rPr>
        <w:t xml:space="preserve"> </w:t>
      </w:r>
      <w:r>
        <w:rPr>
          <w:sz w:val="24"/>
        </w:rPr>
        <w:t>а также с</w:t>
      </w:r>
      <w:r>
        <w:rPr>
          <w:b w:val="1"/>
          <w:sz w:val="24"/>
        </w:rPr>
        <w:t xml:space="preserve"> </w:t>
      </w:r>
      <w:r>
        <w:rPr>
          <w:sz w:val="24"/>
        </w:rPr>
        <w:t xml:space="preserve">учетом </w:t>
      </w:r>
      <w:r>
        <w:rPr>
          <w:sz w:val="24"/>
        </w:rPr>
        <w:t>климато</w:t>
      </w:r>
      <w:r>
        <w:rPr>
          <w:sz w:val="24"/>
        </w:rPr>
        <w:t xml:space="preserve">-географических, национальных, конфессиональных и территориальных особенностей питания населения. </w:t>
      </w:r>
    </w:p>
    <w:p w14:paraId="02000000">
      <w:pPr>
        <w:tabs>
          <w:tab w:leader="none" w:pos="2600" w:val="left"/>
          <w:tab w:leader="none" w:pos="7371" w:val="left"/>
        </w:tabs>
        <w:ind/>
        <w:jc w:val="both"/>
        <w:rPr>
          <w:sz w:val="24"/>
        </w:rPr>
      </w:pPr>
    </w:p>
    <w:p w14:paraId="03000000">
      <w:pPr>
        <w:numPr>
          <w:ilvl w:val="0"/>
          <w:numId w:val="1"/>
        </w:numPr>
        <w:tabs>
          <w:tab w:leader="none" w:pos="2600" w:val="left"/>
          <w:tab w:leader="none" w:pos="7371" w:val="left"/>
        </w:tabs>
        <w:ind/>
        <w:jc w:val="both"/>
        <w:rPr>
          <w:sz w:val="24"/>
        </w:rPr>
      </w:pPr>
      <w:r>
        <w:rPr>
          <w:sz w:val="24"/>
        </w:rPr>
        <w:t xml:space="preserve">В соответствии с таблицей № 3 вышеуказанного СанПиН «Распределение в процентном отношении потребления пищевых веществ и энергии по приемам пищи в зависимости от времени пребывания в организации» доля суточной потребности в пищевых веществах и энергии: </w:t>
      </w:r>
    </w:p>
    <w:p w14:paraId="04000000">
      <w:pPr>
        <w:tabs>
          <w:tab w:leader="none" w:pos="2600" w:val="left"/>
          <w:tab w:leader="none" w:pos="7371" w:val="left"/>
        </w:tabs>
        <w:ind/>
        <w:jc w:val="both"/>
        <w:rPr>
          <w:sz w:val="24"/>
        </w:rPr>
      </w:pPr>
      <w:r>
        <w:rPr>
          <w:sz w:val="24"/>
        </w:rPr>
        <w:t xml:space="preserve">- общеобразовательные организации с режимом работы - первая смена - 20-25 %, калорийность </w:t>
      </w:r>
      <w:r>
        <w:rPr>
          <w:sz w:val="24"/>
        </w:rPr>
        <w:t>завтраков  470</w:t>
      </w:r>
      <w:r>
        <w:rPr>
          <w:sz w:val="24"/>
        </w:rPr>
        <w:t xml:space="preserve"> ккал – 587,5 ккал. </w:t>
      </w:r>
    </w:p>
    <w:p w14:paraId="05000000">
      <w:pPr>
        <w:tabs>
          <w:tab w:leader="none" w:pos="2600" w:val="left"/>
          <w:tab w:leader="none" w:pos="7371" w:val="left"/>
        </w:tabs>
        <w:ind/>
        <w:jc w:val="both"/>
        <w:rPr>
          <w:sz w:val="24"/>
        </w:rPr>
      </w:pPr>
    </w:p>
    <w:p w14:paraId="06000000">
      <w:pPr>
        <w:tabs>
          <w:tab w:leader="none" w:pos="2600" w:val="left"/>
          <w:tab w:leader="none" w:pos="7371" w:val="left"/>
        </w:tabs>
        <w:ind/>
        <w:jc w:val="both"/>
        <w:rPr>
          <w:sz w:val="24"/>
        </w:rPr>
      </w:pPr>
      <w:r>
        <w:rPr>
          <w:sz w:val="24"/>
        </w:rPr>
        <w:t xml:space="preserve">- общеобразовательные организации с режимом работы - вторая смена - 30-35 </w:t>
      </w:r>
      <w:r>
        <w:rPr>
          <w:sz w:val="24"/>
        </w:rPr>
        <w:t>%,  калорийность</w:t>
      </w:r>
      <w:r>
        <w:rPr>
          <w:sz w:val="24"/>
        </w:rPr>
        <w:t xml:space="preserve"> обедов -  705 ккал – 822 ккал. </w:t>
      </w:r>
    </w:p>
    <w:p w14:paraId="07000000">
      <w:pPr>
        <w:tabs>
          <w:tab w:leader="none" w:pos="2600" w:val="left"/>
          <w:tab w:leader="none" w:pos="7371" w:val="left"/>
        </w:tabs>
        <w:ind/>
        <w:jc w:val="both"/>
        <w:rPr>
          <w:sz w:val="24"/>
        </w:rPr>
      </w:pPr>
    </w:p>
    <w:p w14:paraId="08000000">
      <w:pPr>
        <w:tabs>
          <w:tab w:leader="none" w:pos="2600" w:val="left"/>
          <w:tab w:leader="none" w:pos="7371" w:val="left"/>
        </w:tabs>
        <w:ind/>
        <w:jc w:val="both"/>
        <w:rPr>
          <w:sz w:val="24"/>
        </w:rPr>
      </w:pPr>
      <w:r>
        <w:rPr>
          <w:sz w:val="24"/>
        </w:rPr>
        <w:t>В разработанном меню калорийность составила 653,9 ккал, а обедов - 806,7 ккал. Превышение калорийности завтраков обусловлено необходимостью доведения стоимости организации питания за 1 дето-день 71 рубль.</w:t>
      </w:r>
    </w:p>
    <w:p w14:paraId="09000000">
      <w:pPr>
        <w:tabs>
          <w:tab w:leader="none" w:pos="2600" w:val="left"/>
          <w:tab w:leader="none" w:pos="7371" w:val="left"/>
        </w:tabs>
        <w:ind/>
        <w:jc w:val="both"/>
        <w:rPr>
          <w:sz w:val="24"/>
        </w:rPr>
      </w:pPr>
    </w:p>
    <w:p w14:paraId="0A000000">
      <w:pPr>
        <w:numPr>
          <w:ilvl w:val="0"/>
          <w:numId w:val="1"/>
        </w:numPr>
        <w:tabs>
          <w:tab w:leader="none" w:pos="2600" w:val="left"/>
          <w:tab w:leader="none" w:pos="7371" w:val="left"/>
        </w:tabs>
        <w:ind/>
        <w:jc w:val="both"/>
        <w:rPr>
          <w:sz w:val="24"/>
        </w:rPr>
      </w:pPr>
      <w:r>
        <w:rPr>
          <w:sz w:val="24"/>
        </w:rPr>
        <w:t>При разработке меню использованы технологические карты «Сборника рецептур на продукцию для обучающихся во всех образовательных учреждениях. Сборник технических нормативов» под авторством </w:t>
      </w:r>
      <w:r>
        <w:rPr>
          <w:sz w:val="24"/>
        </w:rPr>
        <w:t>Тутельяна</w:t>
      </w:r>
      <w:r>
        <w:rPr>
          <w:sz w:val="24"/>
        </w:rPr>
        <w:t xml:space="preserve"> В.А., Никитюк Д.Б., </w:t>
      </w:r>
      <w:r>
        <w:rPr>
          <w:sz w:val="24"/>
        </w:rPr>
        <w:t>Пырьевой</w:t>
      </w:r>
      <w:r>
        <w:rPr>
          <w:sz w:val="24"/>
        </w:rPr>
        <w:t xml:space="preserve"> Е.А., </w:t>
      </w:r>
      <w:r>
        <w:rPr>
          <w:sz w:val="24"/>
        </w:rPr>
        <w:t>Димитриевой</w:t>
      </w:r>
      <w:r>
        <w:rPr>
          <w:sz w:val="24"/>
        </w:rPr>
        <w:t xml:space="preserve"> С.А., </w:t>
      </w:r>
      <w:r>
        <w:rPr>
          <w:sz w:val="24"/>
        </w:rPr>
        <w:t>Тоболевой</w:t>
      </w:r>
      <w:r>
        <w:rPr>
          <w:sz w:val="24"/>
        </w:rPr>
        <w:t xml:space="preserve"> М.А, издание 2022 года.</w:t>
      </w:r>
    </w:p>
    <w:p w14:paraId="0B000000">
      <w:pPr>
        <w:tabs>
          <w:tab w:leader="none" w:pos="2600" w:val="left"/>
          <w:tab w:leader="none" w:pos="7371" w:val="left"/>
        </w:tabs>
        <w:ind/>
        <w:jc w:val="both"/>
        <w:rPr>
          <w:sz w:val="24"/>
        </w:rPr>
      </w:pPr>
    </w:p>
    <w:p w14:paraId="0C000000">
      <w:pPr>
        <w:numPr>
          <w:ilvl w:val="0"/>
          <w:numId w:val="1"/>
        </w:numPr>
        <w:tabs>
          <w:tab w:leader="none" w:pos="2600" w:val="left"/>
          <w:tab w:leader="none" w:pos="7371" w:val="left"/>
        </w:tabs>
        <w:ind/>
        <w:jc w:val="both"/>
        <w:rPr>
          <w:sz w:val="24"/>
        </w:rPr>
      </w:pPr>
      <w:r>
        <w:rPr>
          <w:sz w:val="24"/>
        </w:rPr>
        <w:t xml:space="preserve">Ввиду отсутствия в некоторых образовательных организациях необходимого технологического оборудования, квалификации и укомплектованности кадров, данное меню направляется как </w:t>
      </w:r>
      <w:r>
        <w:rPr>
          <w:b w:val="1"/>
          <w:sz w:val="24"/>
        </w:rPr>
        <w:t>примерное,</w:t>
      </w:r>
      <w:r>
        <w:rPr>
          <w:sz w:val="24"/>
        </w:rPr>
        <w:t xml:space="preserve"> с возможностью замены одного вида пищевой продукции, блюд и кулинарных изделий на иные виды пищевой продукции, блюд и кулинарных изделий в соответствии с таблицей замены пищевой продукции с учетом ее пищевой ценности (</w:t>
      </w:r>
      <w:r>
        <w:rPr>
          <w:rStyle w:val="Style_1_ch"/>
          <w:sz w:val="24"/>
        </w:rPr>
        <w:fldChar w:fldCharType="begin"/>
      </w:r>
      <w:r>
        <w:rPr>
          <w:rStyle w:val="Style_1_ch"/>
          <w:sz w:val="24"/>
        </w:rPr>
        <w:instrText>HYPERLINK "https://docs.cntd.ru/document/566276706#8PI0LS"</w:instrText>
      </w:r>
      <w:r>
        <w:rPr>
          <w:rStyle w:val="Style_1_ch"/>
          <w:sz w:val="24"/>
        </w:rPr>
        <w:fldChar w:fldCharType="separate"/>
      </w:r>
      <w:r>
        <w:rPr>
          <w:rStyle w:val="Style_1_ch"/>
          <w:sz w:val="24"/>
        </w:rPr>
        <w:t>приложение N 11</w:t>
      </w:r>
      <w:r>
        <w:rPr>
          <w:rStyle w:val="Style_1_ch"/>
          <w:sz w:val="24"/>
        </w:rPr>
        <w:fldChar w:fldCharType="end"/>
      </w:r>
      <w:r>
        <w:rPr>
          <w:sz w:val="24"/>
        </w:rPr>
        <w:t xml:space="preserve"> к </w:t>
      </w:r>
      <w:r>
        <w:rPr>
          <w:sz w:val="24"/>
        </w:rPr>
        <w:t>СанПин</w:t>
      </w:r>
      <w:r>
        <w:rPr>
          <w:sz w:val="24"/>
        </w:rPr>
        <w:t xml:space="preserve"> 2.3/2.4.3590-20)  с учетом мнения технологов образовательных организаций, поваров, предпочтений детей в определенной организации. </w:t>
      </w:r>
    </w:p>
    <w:p w14:paraId="0D000000">
      <w:pPr>
        <w:tabs>
          <w:tab w:leader="none" w:pos="2600" w:val="left"/>
          <w:tab w:leader="none" w:pos="7371" w:val="left"/>
        </w:tabs>
        <w:ind/>
        <w:jc w:val="both"/>
        <w:rPr>
          <w:sz w:val="24"/>
        </w:rPr>
      </w:pPr>
      <w:r>
        <w:rPr>
          <w:sz w:val="24"/>
        </w:rPr>
        <w:t xml:space="preserve">При замене блюд следует руководствоваться требованиями </w:t>
      </w:r>
      <w:r>
        <w:rPr>
          <w:sz w:val="24"/>
        </w:rPr>
        <w:t>СанПин</w:t>
      </w:r>
      <w:r>
        <w:rPr>
          <w:sz w:val="24"/>
        </w:rPr>
        <w:t xml:space="preserve"> 2.3/2.4.3590-20. </w:t>
      </w:r>
    </w:p>
    <w:p w14:paraId="0E000000">
      <w:pPr>
        <w:tabs>
          <w:tab w:leader="none" w:pos="2600" w:val="left"/>
          <w:tab w:leader="none" w:pos="7371" w:val="left"/>
        </w:tabs>
        <w:ind/>
        <w:jc w:val="both"/>
        <w:rPr>
          <w:sz w:val="24"/>
        </w:rPr>
      </w:pPr>
      <w:r>
        <w:rPr>
          <w:sz w:val="24"/>
        </w:rPr>
        <w:t>Для осуществления замен предлагаем приложение №</w:t>
      </w:r>
      <w:r>
        <w:rPr>
          <w:sz w:val="24"/>
        </w:rPr>
        <w:t>3</w:t>
      </w:r>
      <w:r>
        <w:rPr>
          <w:sz w:val="24"/>
        </w:rPr>
        <w:t xml:space="preserve"> к настоящему письму с наименованиями и номерами калькуляционных карточек блюд, которые могут быть взаимозаменяемы (</w:t>
      </w:r>
      <w:r>
        <w:rPr>
          <w:sz w:val="24"/>
        </w:rPr>
        <w:t>Таблица</w:t>
      </w:r>
      <w:r>
        <w:rPr>
          <w:sz w:val="24"/>
        </w:rPr>
        <w:t xml:space="preserve"> №1).</w:t>
      </w:r>
    </w:p>
    <w:p w14:paraId="0F000000">
      <w:pPr>
        <w:tabs>
          <w:tab w:leader="none" w:pos="2600" w:val="left"/>
          <w:tab w:leader="none" w:pos="7371" w:val="left"/>
        </w:tabs>
        <w:ind/>
        <w:jc w:val="both"/>
        <w:rPr>
          <w:sz w:val="24"/>
        </w:rPr>
      </w:pPr>
      <w:r>
        <w:rPr>
          <w:sz w:val="24"/>
        </w:rPr>
        <w:t xml:space="preserve">Кроме того, в соответствии с п. 1а Постановления Правительства Республики </w:t>
      </w:r>
      <w:r>
        <w:rPr>
          <w:sz w:val="24"/>
        </w:rPr>
        <w:t>Дагестан  от</w:t>
      </w:r>
      <w:r>
        <w:rPr>
          <w:sz w:val="24"/>
        </w:rPr>
        <w:t xml:space="preserve"> 01.09.2022 г. муниципальные образования вправе самостоятельно увеличивать стоимость питания за счёт экономии средств, используя таковую на обеспечение повышения качества и наполнения предоставляемого рациона питания и/или увеличения кратности предоставления бесплатного горячего питания обучающихся (сверх одного раза в день).</w:t>
      </w:r>
    </w:p>
    <w:p w14:paraId="10000000">
      <w:pPr>
        <w:tabs>
          <w:tab w:leader="none" w:pos="2600" w:val="left"/>
          <w:tab w:leader="none" w:pos="7371" w:val="left"/>
        </w:tabs>
        <w:ind/>
        <w:jc w:val="both"/>
        <w:rPr>
          <w:sz w:val="24"/>
        </w:rPr>
      </w:pPr>
      <w:r>
        <w:rPr>
          <w:sz w:val="24"/>
        </w:rPr>
        <w:t>В этой связи предлагаем представить калькуляцию блюд по таблице замен (</w:t>
      </w:r>
      <w:r>
        <w:rPr>
          <w:sz w:val="24"/>
        </w:rPr>
        <w:t>таблица 1, приложенная</w:t>
      </w:r>
      <w:r>
        <w:rPr>
          <w:sz w:val="24"/>
        </w:rPr>
        <w:t xml:space="preserve"> к настоящему письму) на основании средних потребительских цен на продовольственные товары в декабре 2022 года (на конец месяца), по публикуемым официальным данным территориального органа Федеральной службы государственной статистики по Республике Дагестан.</w:t>
      </w:r>
    </w:p>
    <w:p w14:paraId="11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360"/>
      </w:pPr>
    </w:lvl>
    <w:lvl w:ilvl="1">
      <w:start w:val="1"/>
      <w:numFmt w:val="lowerLetter"/>
      <w:lvlText w:val="%2."/>
      <w:lvlJc w:val="left"/>
      <w:pPr>
        <w:ind w:hanging="360" w:left="1647"/>
      </w:pPr>
    </w:lvl>
    <w:lvl w:ilvl="2">
      <w:start w:val="1"/>
      <w:numFmt w:val="lowerRoman"/>
      <w:lvlText w:val="%3."/>
      <w:lvlJc w:val="right"/>
      <w:pPr>
        <w:ind w:hanging="180" w:left="2367"/>
      </w:pPr>
    </w:lvl>
    <w:lvl w:ilvl="3">
      <w:start w:val="1"/>
      <w:numFmt w:val="decimal"/>
      <w:lvlText w:val="%4."/>
      <w:lvlJc w:val="left"/>
      <w:pPr>
        <w:ind w:hanging="360" w:left="3087"/>
      </w:pPr>
    </w:lvl>
    <w:lvl w:ilvl="4">
      <w:start w:val="1"/>
      <w:numFmt w:val="lowerLetter"/>
      <w:lvlText w:val="%5."/>
      <w:lvlJc w:val="left"/>
      <w:pPr>
        <w:ind w:hanging="360" w:left="3807"/>
      </w:pPr>
    </w:lvl>
    <w:lvl w:ilvl="5">
      <w:start w:val="1"/>
      <w:numFmt w:val="lowerRoman"/>
      <w:lvlText w:val="%6."/>
      <w:lvlJc w:val="right"/>
      <w:pPr>
        <w:ind w:hanging="180" w:left="4527"/>
      </w:pPr>
    </w:lvl>
    <w:lvl w:ilvl="6">
      <w:start w:val="1"/>
      <w:numFmt w:val="decimal"/>
      <w:lvlText w:val="%7."/>
      <w:lvlJc w:val="left"/>
      <w:pPr>
        <w:ind w:hanging="360" w:left="5247"/>
      </w:pPr>
    </w:lvl>
    <w:lvl w:ilvl="7">
      <w:start w:val="1"/>
      <w:numFmt w:val="lowerLetter"/>
      <w:lvlText w:val="%8."/>
      <w:lvlJc w:val="left"/>
      <w:pPr>
        <w:ind w:hanging="360" w:left="5967"/>
      </w:pPr>
    </w:lvl>
    <w:lvl w:ilvl="8">
      <w:start w:val="1"/>
      <w:numFmt w:val="lowerRoman"/>
      <w:lvlText w:val="%9."/>
      <w:lvlJc w:val="right"/>
      <w:pPr>
        <w:ind w:hanging="180" w:left="6687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0"/>
    </w:rPr>
  </w:style>
  <w:style w:default="1" w:styleId="Style_2_ch" w:type="character">
    <w:name w:val="Normal"/>
    <w:link w:val="Style_2"/>
    <w:rPr>
      <w:rFonts w:ascii="Times New Roman" w:hAnsi="Times New Roman"/>
      <w:sz w:val="20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" w:type="paragraph">
    <w:name w:val="Hyperlink"/>
    <w:link w:val="Style_1_ch"/>
    <w:rPr>
      <w:color w:val="0000FF"/>
      <w:u w:val="single"/>
    </w:rPr>
  </w:style>
  <w:style w:styleId="Style_1_ch" w:type="character">
    <w:name w:val="Hyperlink"/>
    <w:link w:val="Style_1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2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2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toc 8"/>
    <w:next w:val="Style_2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2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2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2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2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2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MyOffice-CoreFramework-Android/29-1028.734.7326.662.0@RELEASE-CORE-29.0-RC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2023-02-09T09:27:26Z</dcterms:modified>
</cp:coreProperties>
</file>